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880D" w14:textId="180B7070" w:rsidR="00C129D0" w:rsidRPr="0022150C" w:rsidRDefault="00C129D0" w:rsidP="00C12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0C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09E53349" w14:textId="77777777" w:rsidR="00C129D0" w:rsidRDefault="00C129D0" w:rsidP="00C12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28D93" w14:textId="0BB6BCD9" w:rsidR="0080728C" w:rsidRDefault="00F658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129D0">
        <w:rPr>
          <w:rFonts w:ascii="Times New Roman" w:hAnsi="Times New Roman" w:cs="Times New Roman"/>
          <w:sz w:val="24"/>
          <w:szCs w:val="24"/>
        </w:rPr>
        <w:t>becné zastupiteľstvo v Matejovciach nad Hornádom</w:t>
      </w:r>
      <w:r>
        <w:rPr>
          <w:rFonts w:ascii="Times New Roman" w:hAnsi="Times New Roman" w:cs="Times New Roman"/>
          <w:sz w:val="24"/>
          <w:szCs w:val="24"/>
        </w:rPr>
        <w:t xml:space="preserve"> v súlade s ustanovením § 6 a § 11 zákona č. 369/1990 Zb. o obecnom zriadení v znení neskorších predpisov, v súlade s ustanovením § 6 ods. 24 zákona č. 596/2003 Z. z. o štátnej správe v školstve a školskej samospráve a o zmene a doplnení niektorých zákonov v znení neskorších predpisov a ustanoveniami § 28, § 114 a §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 zákona č. 245/2008 Z. z. o výchove a vzdelávaní (školský zákon) a o zmene a doplnení niektorých zákonov v znení neskorších predpisov vydáva:</w:t>
      </w:r>
    </w:p>
    <w:p w14:paraId="2D7E2FF9" w14:textId="77777777" w:rsidR="0080728C" w:rsidRDefault="0080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328B0" w14:textId="77777777" w:rsidR="0080728C" w:rsidRDefault="0080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CACC8" w14:textId="77777777" w:rsidR="0022150C" w:rsidRDefault="0022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D7155" w14:textId="77777777" w:rsidR="0022150C" w:rsidRDefault="0022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CE1D8" w14:textId="77777777" w:rsidR="001C22A6" w:rsidRDefault="001C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1099E" w14:textId="77777777" w:rsidR="0080728C" w:rsidRDefault="00F65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Všeobecne záväzné nariadenie </w:t>
      </w:r>
    </w:p>
    <w:p w14:paraId="39CAA653" w14:textId="77777777" w:rsidR="0080728C" w:rsidRDefault="00807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5B9346" w14:textId="3B98805C" w:rsidR="0080728C" w:rsidRDefault="00056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 1/2023</w:t>
      </w:r>
    </w:p>
    <w:p w14:paraId="0A2DA519" w14:textId="77777777" w:rsidR="0080728C" w:rsidRDefault="00807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235A32" w14:textId="77777777" w:rsidR="0080728C" w:rsidRDefault="00F65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určení výšky finančných príspevkov na čiastočnú úhradu nákladov na výchovu a vzdelanie v školách a školských zariadeniach</w:t>
      </w:r>
    </w:p>
    <w:p w14:paraId="2B47E6CA" w14:textId="77777777" w:rsidR="0080728C" w:rsidRDefault="0080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06D96D3" w14:textId="77777777" w:rsidR="0080728C" w:rsidRDefault="0080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3FBC0D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PRVÁ ČASŤ</w:t>
      </w:r>
    </w:p>
    <w:p w14:paraId="331DF652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ÚVODNÉ USTANOVENIA</w:t>
      </w:r>
    </w:p>
    <w:p w14:paraId="1F7F8497" w14:textId="77777777" w:rsidR="0080728C" w:rsidRDefault="0080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A0E5A0C" w14:textId="77777777" w:rsidR="0080728C" w:rsidRDefault="0080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13A187F8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1</w:t>
      </w:r>
    </w:p>
    <w:p w14:paraId="36E9EBDE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Účel a predmet</w:t>
      </w:r>
    </w:p>
    <w:p w14:paraId="470A7505" w14:textId="77777777" w:rsidR="0080728C" w:rsidRDefault="0080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3824B1" w14:textId="77777777" w:rsidR="0080728C" w:rsidRDefault="00F65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Účelom všeobecne záväzného nariadenia o určení výšky finančných príspevkov na čiastočnú úhradu nákladov na výchovu a vzdelanie v školách a školských zariadeniach (ďalej len „nariadenie“) je určiť: </w:t>
      </w:r>
    </w:p>
    <w:p w14:paraId="3FE49F60" w14:textId="77777777" w:rsidR="0080728C" w:rsidRDefault="0080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C2F021" w14:textId="77777777" w:rsidR="0080728C" w:rsidRDefault="00F658D0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výšku mesačného finančného príspevku na čiastočnú úhradu:</w:t>
      </w:r>
    </w:p>
    <w:p w14:paraId="1182FC0E" w14:textId="77777777" w:rsidR="0080728C" w:rsidRDefault="00F658D0">
      <w:pPr>
        <w:numPr>
          <w:ilvl w:val="0"/>
          <w:numId w:val="4"/>
        </w:numPr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výdavkov materskej školy,</w:t>
      </w:r>
    </w:p>
    <w:p w14:paraId="690C654C" w14:textId="77777777" w:rsidR="0080728C" w:rsidRDefault="00F658D0">
      <w:pPr>
        <w:numPr>
          <w:ilvl w:val="0"/>
          <w:numId w:val="4"/>
        </w:numPr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nákladov na činnosť školského klubu detí,</w:t>
      </w:r>
    </w:p>
    <w:p w14:paraId="1B970800" w14:textId="77777777" w:rsidR="0080728C" w:rsidRDefault="00F658D0">
      <w:pPr>
        <w:numPr>
          <w:ilvl w:val="0"/>
          <w:numId w:val="4"/>
        </w:numPr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nákladov spojených so stravovaním v zariadeniach školského stravovania,</w:t>
      </w:r>
    </w:p>
    <w:p w14:paraId="0C1AB75A" w14:textId="77777777" w:rsidR="0080728C" w:rsidRDefault="00F658D0">
      <w:pPr>
        <w:spacing w:after="27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alej len „príspevok“),</w:t>
      </w:r>
    </w:p>
    <w:p w14:paraId="77F8B8E1" w14:textId="77777777" w:rsidR="0080728C" w:rsidRDefault="0080728C">
      <w:pPr>
        <w:spacing w:after="27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990FE" w14:textId="77777777" w:rsidR="0080728C" w:rsidRDefault="00F658D0">
      <w:pPr>
        <w:pStyle w:val="Odsekzoznamu"/>
        <w:numPr>
          <w:ilvl w:val="0"/>
          <w:numId w:val="3"/>
        </w:numPr>
        <w:spacing w:after="2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podmienky odpustenia príspevku v materskej škole a v školskom klube detí.</w:t>
      </w:r>
    </w:p>
    <w:p w14:paraId="049C207E" w14:textId="77777777" w:rsidR="0080728C" w:rsidRDefault="0080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497286F" w14:textId="77777777" w:rsidR="0080728C" w:rsidRDefault="0080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A01D3F0" w14:textId="77777777" w:rsidR="00A06BA1" w:rsidRDefault="00A0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32C61C6" w14:textId="77777777" w:rsidR="00A06BA1" w:rsidRDefault="00A0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8AFBC9F" w14:textId="77777777" w:rsidR="00A06BA1" w:rsidRDefault="00A0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2CA9845" w14:textId="77777777" w:rsidR="00A06BA1" w:rsidRDefault="00A0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4E1D3AD" w14:textId="77777777" w:rsidR="0022150C" w:rsidRDefault="0022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6140830E" w14:textId="77777777" w:rsidR="00A06BA1" w:rsidRDefault="00A0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65F72009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DRUHÁ ČASŤ</w:t>
      </w:r>
    </w:p>
    <w:p w14:paraId="5494E0E5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PRÍSPEVKY V ŠKOLÁCH A ŠKOLSKÝCH ZARIADENIACH</w:t>
      </w:r>
    </w:p>
    <w:p w14:paraId="6F0A15BD" w14:textId="77777777" w:rsidR="0080728C" w:rsidRDefault="0080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0F0E087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2</w:t>
      </w:r>
    </w:p>
    <w:p w14:paraId="63E29865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Príspevok za pobyt dieťaťa v materskej škole</w:t>
      </w:r>
    </w:p>
    <w:p w14:paraId="06FD568D" w14:textId="77777777" w:rsidR="0080728C" w:rsidRDefault="0080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EE1C5D" w14:textId="61F08EDF" w:rsidR="0080728C" w:rsidRDefault="00F658D0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pobyt dieťaťa v materskej škole prispieva zákonný zástupca na čiastočnú úhradu výdavkov mesačne na jedno dieťa sum</w:t>
      </w:r>
      <w:r w:rsidR="00A06B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 10</w:t>
      </w:r>
      <w:r w:rsidR="004C7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,00 EUR.</w:t>
      </w:r>
    </w:p>
    <w:p w14:paraId="2CC2FE05" w14:textId="77777777" w:rsidR="0080728C" w:rsidRDefault="0080728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97BE50" w14:textId="77777777" w:rsidR="0080728C" w:rsidRDefault="0080728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B6CDB42" w14:textId="77777777" w:rsidR="0080728C" w:rsidRDefault="00F658D0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6A241E6F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Podmienky odpustenia príspevku za pobyt dieťaťa </w:t>
      </w:r>
    </w:p>
    <w:p w14:paraId="06B06FA7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v materskej škole </w:t>
      </w:r>
    </w:p>
    <w:p w14:paraId="39B81FA7" w14:textId="77777777" w:rsidR="0080728C" w:rsidRDefault="0080728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3162B" w14:textId="77777777" w:rsidR="0080728C" w:rsidRDefault="00F658D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Príspevok </w:t>
      </w:r>
      <w:r>
        <w:rPr>
          <w:rStyle w:val="fontstyle01"/>
          <w:rFonts w:ascii="Times New Roman" w:hAnsi="Times New Roman" w:cs="Times New Roman"/>
        </w:rPr>
        <w:t>sa neuhrádza za podmienok stanovených ustanovením § 28 ods. 6 školského zákona.</w:t>
      </w:r>
    </w:p>
    <w:p w14:paraId="76965AEA" w14:textId="77777777" w:rsidR="0080728C" w:rsidRDefault="0080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AC769" w14:textId="77777777" w:rsidR="0080728C" w:rsidRDefault="00F658D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</w:t>
      </w:r>
      <w:r>
        <w:rPr>
          <w:rFonts w:ascii="Times New Roman" w:hAnsi="Times New Roman" w:cs="Times New Roman"/>
          <w:color w:val="000000"/>
          <w:sz w:val="24"/>
          <w:szCs w:val="24"/>
        </w:rPr>
        <w:t>v materskej škole sa odpúšťa:</w:t>
      </w:r>
    </w:p>
    <w:p w14:paraId="6130B91F" w14:textId="77777777" w:rsidR="0080728C" w:rsidRDefault="00F658D0">
      <w:pPr>
        <w:pStyle w:val="Odsekzoznamu"/>
        <w:numPr>
          <w:ilvl w:val="7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z w:val="24"/>
          <w:szCs w:val="24"/>
        </w:rPr>
        <w:t xml:space="preserve">prípade dieťaťa, ktoré má preukázateľne prerušenú dochádzku do materskej školy na viac ako 30 po sebe nasledujúcich kalendárnych dní z dôvodu choroby alebo rodinných </w:t>
      </w:r>
      <w:r>
        <w:rPr>
          <w:rFonts w:ascii="Times New Roman" w:hAnsi="Times New Roman"/>
          <w:sz w:val="24"/>
          <w:szCs w:val="24"/>
        </w:rPr>
        <w:t>dôvodov,</w:t>
      </w:r>
    </w:p>
    <w:p w14:paraId="253ABA06" w14:textId="77777777" w:rsidR="0080728C" w:rsidRDefault="00F658D0">
      <w:pPr>
        <w:pStyle w:val="Odsekzoznamu"/>
        <w:numPr>
          <w:ilvl w:val="7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pomernej časti v prípade dieťaťa, ktoré nedochádzalo do materskej školy v termíne vyhlásených školských prázdnin, alebo ak bola prerušená prevádzka materskej školy zapríčinená zriaďovateľom alebo inými závažnými technickými a prevádzkovými dôvodmi.</w:t>
      </w:r>
    </w:p>
    <w:p w14:paraId="58FF3C5D" w14:textId="77777777" w:rsidR="0080728C" w:rsidRDefault="0080728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BBA0DD" w14:textId="77777777" w:rsidR="0080728C" w:rsidRDefault="00F658D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podmienok podľa § 3 ods. 2 písm. a) nariadenia sa preukazuje predložením potvrdenia od všeobecného lekára pre deti a dorast, ak je dôvodom choroba, a písomná žiadosť zákonného zástupcu s vyhlásením o rodinných dôvodoch prerušenia dochádzky do materskej školy. </w:t>
      </w:r>
    </w:p>
    <w:p w14:paraId="03171967" w14:textId="77777777" w:rsidR="0080728C" w:rsidRDefault="0080728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36331A" w14:textId="77777777" w:rsidR="0080728C" w:rsidRDefault="00F658D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uhradení pomernej časti príspevku podľa </w:t>
      </w:r>
      <w:r>
        <w:rPr>
          <w:rFonts w:ascii="Times New Roman" w:hAnsi="Times New Roman" w:cs="Times New Roman"/>
          <w:sz w:val="24"/>
          <w:szCs w:val="24"/>
        </w:rPr>
        <w:t xml:space="preserve">§ 3 ods. 2 písm. b) </w:t>
      </w:r>
      <w:r>
        <w:rPr>
          <w:rFonts w:ascii="Times New Roman" w:hAnsi="Times New Roman"/>
          <w:sz w:val="24"/>
          <w:szCs w:val="24"/>
        </w:rPr>
        <w:t>rozhodne riaditeľ školy alebo školského zariadenia (ďalej len „riaditeľ“)  bez žiadosti zákonného zástupcu.</w:t>
      </w:r>
    </w:p>
    <w:p w14:paraId="42532625" w14:textId="77777777" w:rsidR="0080728C" w:rsidRDefault="0080728C">
      <w:pPr>
        <w:pStyle w:val="Odsekzoznamu"/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0AEB1EAE" w14:textId="7EF6A573" w:rsidR="0080728C" w:rsidRDefault="00F658D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sa uhrádza v termíne podľa § 28 ods. 5 školského zákona</w:t>
      </w:r>
      <w:r w:rsidR="002A5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A58DB">
        <w:rPr>
          <w:rFonts w:ascii="Times New Roman" w:hAnsi="Times New Roman" w:cs="Times New Roman"/>
          <w:sz w:val="24"/>
          <w:szCs w:val="24"/>
        </w:rPr>
        <w:t xml:space="preserve">. do </w:t>
      </w:r>
      <w:r w:rsidR="002A58DB">
        <w:rPr>
          <w:rFonts w:ascii="Times New Roman" w:hAnsi="Times New Roman" w:cs="Times New Roman"/>
          <w:color w:val="000000"/>
          <w:sz w:val="24"/>
          <w:szCs w:val="24"/>
        </w:rPr>
        <w:t>10. dňa v kalendárnom mesiaci.</w:t>
      </w:r>
    </w:p>
    <w:p w14:paraId="7904A664" w14:textId="77777777" w:rsidR="0080728C" w:rsidRDefault="0080728C">
      <w:pPr>
        <w:pStyle w:val="Odsekzoznamu"/>
        <w:spacing w:after="0" w:line="240" w:lineRule="auto"/>
        <w:ind w:left="284"/>
        <w:jc w:val="both"/>
        <w:rPr>
          <w:i/>
          <w:iCs/>
          <w:color w:val="000000"/>
        </w:rPr>
      </w:pPr>
    </w:p>
    <w:p w14:paraId="42703879" w14:textId="77777777" w:rsidR="0080728C" w:rsidRDefault="008072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66335465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4</w:t>
      </w:r>
    </w:p>
    <w:p w14:paraId="5A3989BF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Príspevok na činnosť školského klubu detí</w:t>
      </w:r>
    </w:p>
    <w:p w14:paraId="6C66432B" w14:textId="77777777" w:rsidR="0080728C" w:rsidRDefault="0080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A2BC035" w14:textId="16F47FE4" w:rsidR="0080728C" w:rsidRDefault="00F6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prispieva na činnosť školského klubu detí m</w:t>
      </w:r>
      <w:r w:rsidR="002A58DB">
        <w:rPr>
          <w:rFonts w:ascii="Times New Roman" w:hAnsi="Times New Roman" w:cs="Times New Roman"/>
          <w:sz w:val="24"/>
          <w:szCs w:val="24"/>
        </w:rPr>
        <w:t>esačne za dieťa sumou vo výške 7</w:t>
      </w:r>
      <w:r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798732" w14:textId="77777777" w:rsidR="0080728C" w:rsidRDefault="0080728C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4701E" w14:textId="77777777" w:rsidR="0080728C" w:rsidRDefault="00807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</w:p>
    <w:p w14:paraId="4C8DF88D" w14:textId="77777777" w:rsidR="0080728C" w:rsidRDefault="00F658D0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7D852843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Podmienky odpustenia príspevku na činnosť školského klubu detí</w:t>
      </w:r>
    </w:p>
    <w:p w14:paraId="786699E2" w14:textId="77777777" w:rsidR="0080728C" w:rsidRDefault="0080728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A6392" w14:textId="77777777" w:rsidR="0080728C" w:rsidRDefault="00F658D0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Príspevok </w:t>
      </w:r>
      <w:r>
        <w:rPr>
          <w:rStyle w:val="fontstyle01"/>
          <w:rFonts w:ascii="Times New Roman" w:hAnsi="Times New Roman" w:cs="Times New Roman"/>
        </w:rPr>
        <w:t>sa neuhrádza za podmienok stanovených ustanovením § 114 ods. 4 školského zákona.</w:t>
      </w:r>
    </w:p>
    <w:p w14:paraId="5C3AA43D" w14:textId="77777777" w:rsidR="0080728C" w:rsidRDefault="0080728C">
      <w:pPr>
        <w:pStyle w:val="Odsekzoznamu"/>
        <w:spacing w:after="0" w:line="240" w:lineRule="auto"/>
        <w:ind w:left="284"/>
        <w:jc w:val="both"/>
        <w:rPr>
          <w:rStyle w:val="fontstyle01"/>
          <w:rFonts w:ascii="Times New Roman" w:hAnsi="Times New Roman" w:cs="Times New Roman"/>
        </w:rPr>
      </w:pPr>
    </w:p>
    <w:p w14:paraId="50BBADF2" w14:textId="77777777" w:rsidR="0080728C" w:rsidRDefault="00F658D0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Príspevok v školskom klube detí sa odpúšťa:</w:t>
      </w:r>
    </w:p>
    <w:p w14:paraId="4B0D0B6F" w14:textId="77777777" w:rsidR="0080728C" w:rsidRDefault="00F658D0">
      <w:pPr>
        <w:pStyle w:val="Odsekzoznamu"/>
        <w:numPr>
          <w:ilvl w:val="7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prípade dieťaťa, ktoré má preukázateľne prerušenú dochádzku do školského klubu detí na viac ako 30 po sebe nasledujúcich kalendárnych dní z dôvodu choroby alebo rodinných dôvodov</w:t>
      </w:r>
      <w:r>
        <w:rPr>
          <w:rFonts w:ascii="Times New Roman" w:hAnsi="Times New Roman"/>
          <w:sz w:val="24"/>
          <w:szCs w:val="24"/>
        </w:rPr>
        <w:t>,</w:t>
      </w:r>
    </w:p>
    <w:p w14:paraId="4E7C7817" w14:textId="77777777" w:rsidR="0080728C" w:rsidRDefault="00F658D0">
      <w:pPr>
        <w:pStyle w:val="Odsekzoznamu"/>
        <w:numPr>
          <w:ilvl w:val="7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pomernej časti v prípade dieťaťa, ktoré nedochádzalo do školského klubu detí v termíne vyhlásených školských prázdnin, alebo ak bola prerušená prevádzka školského klubu detí zapríčinená zriaďovateľom alebo inými závažnými technickými a prevádzkovými dôvodmi.</w:t>
      </w:r>
    </w:p>
    <w:p w14:paraId="1817F13C" w14:textId="77777777" w:rsidR="0080728C" w:rsidRDefault="0080728C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8E4D55" w14:textId="77777777" w:rsidR="0080728C" w:rsidRDefault="00F658D0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podmienok podľa § 5 ods. 2 písm. a) nariadenia sa preukazuje predložením potvrdenia od všeobecného lekára pre deti a dorast, ak je dôvodom choroba, a písomná žiadosť zákonného zástupcu s vyhlásením o rodinných dôvodoch prerušenia dochádzky do materskej školy. </w:t>
      </w:r>
    </w:p>
    <w:p w14:paraId="13399B1C" w14:textId="77777777" w:rsidR="0080728C" w:rsidRDefault="0080728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0043DC" w14:textId="77777777" w:rsidR="0080728C" w:rsidRDefault="00F658D0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uhradení pomernej časti príspevku podľa </w:t>
      </w:r>
      <w:r>
        <w:rPr>
          <w:rFonts w:ascii="Times New Roman" w:hAnsi="Times New Roman" w:cs="Times New Roman"/>
          <w:sz w:val="24"/>
          <w:szCs w:val="24"/>
        </w:rPr>
        <w:t xml:space="preserve">§ 5 ods. 2 písm. b) </w:t>
      </w:r>
      <w:r>
        <w:rPr>
          <w:rFonts w:ascii="Times New Roman" w:hAnsi="Times New Roman"/>
          <w:sz w:val="24"/>
          <w:szCs w:val="24"/>
        </w:rPr>
        <w:t>rozhodne riaditeľ bez žiadosti zákonného zástupcu.</w:t>
      </w:r>
    </w:p>
    <w:p w14:paraId="39381BB9" w14:textId="77777777" w:rsidR="0080728C" w:rsidRDefault="0080728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8C6904" w14:textId="77777777" w:rsidR="0080728C" w:rsidRDefault="00F658D0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sa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hrádza vopred do 10. dňa v kalendárnom mesiaci. </w:t>
      </w:r>
    </w:p>
    <w:p w14:paraId="7DA58C00" w14:textId="77777777" w:rsidR="0080728C" w:rsidRDefault="0080728C">
      <w:pPr>
        <w:pStyle w:val="Odsekzoznamu"/>
        <w:spacing w:after="0" w:line="240" w:lineRule="auto"/>
        <w:ind w:left="284" w:hanging="284"/>
        <w:jc w:val="both"/>
        <w:rPr>
          <w:i/>
          <w:iCs/>
          <w:color w:val="000000"/>
        </w:rPr>
      </w:pPr>
    </w:p>
    <w:p w14:paraId="52F8DC20" w14:textId="77777777" w:rsidR="0080728C" w:rsidRDefault="008072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1A8D8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6</w:t>
      </w:r>
    </w:p>
    <w:p w14:paraId="16572B8E" w14:textId="77777777" w:rsidR="0080728C" w:rsidRDefault="00F658D0">
      <w:pPr>
        <w:pStyle w:val="Normlnywebov"/>
        <w:spacing w:before="100" w:after="100" w:line="240" w:lineRule="auto"/>
        <w:jc w:val="center"/>
      </w:pPr>
      <w:r>
        <w:rPr>
          <w:rStyle w:val="Siln"/>
        </w:rPr>
        <w:t>Príspevok na čiastočnú úhradu nákladov za stravovanie v zariadení školského stravovania</w:t>
      </w:r>
    </w:p>
    <w:p w14:paraId="292EAC32" w14:textId="77777777" w:rsidR="0080728C" w:rsidRDefault="0080728C">
      <w:pPr>
        <w:pStyle w:val="Normlnywebov"/>
        <w:spacing w:before="100" w:after="100" w:line="240" w:lineRule="auto"/>
        <w:jc w:val="center"/>
        <w:rPr>
          <w:rStyle w:val="Siln"/>
        </w:rPr>
      </w:pPr>
    </w:p>
    <w:p w14:paraId="7E90CA2F" w14:textId="77777777" w:rsidR="0080728C" w:rsidRDefault="00F658D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Zariadenie školského stravovania poskytuje stravovanie deťom a žiakom za čiastočnú úhradu nákladov, ktoré uhrádza zákonný zástupca vo výške nákladov na nákup potravín podľa vekových kategórií stravníkov v súlade s finančnými pásmami nákladov na nákup potravín na jedno jedlo určenými </w:t>
      </w:r>
      <w:r>
        <w:rPr>
          <w:rFonts w:ascii="Times New Roman" w:hAnsi="Times New Roman"/>
          <w:color w:val="212529"/>
          <w:sz w:val="24"/>
          <w:szCs w:val="24"/>
        </w:rPr>
        <w:t>Ministerstvom školstva, vedy, výskumu a športu Slovenskej republiky</w:t>
      </w:r>
      <w:r>
        <w:rPr>
          <w:rFonts w:ascii="Times New Roman" w:hAnsi="Times New Roman"/>
          <w:sz w:val="24"/>
          <w:szCs w:val="24"/>
        </w:rPr>
        <w:t xml:space="preserve"> (ďalej len „ministerstvo“)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3A96CFB" w14:textId="77777777" w:rsidR="0080728C" w:rsidRDefault="0080728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5C68F0E" w14:textId="77777777" w:rsidR="0080728C" w:rsidRDefault="00F658D0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Príspevok </w:t>
      </w:r>
      <w:r>
        <w:rPr>
          <w:rStyle w:val="fontstyle01"/>
          <w:rFonts w:ascii="Times New Roman" w:hAnsi="Times New Roman"/>
        </w:rPr>
        <w:t>sa neuhrádza za podmienok stanovených ustanovením § 140 ods. 11 školského zákona.</w:t>
      </w:r>
    </w:p>
    <w:p w14:paraId="0D6AFCEE" w14:textId="77777777" w:rsidR="0080728C" w:rsidRDefault="0080728C">
      <w:pPr>
        <w:pStyle w:val="Odsekzoznamu"/>
        <w:spacing w:after="0" w:line="240" w:lineRule="auto"/>
        <w:ind w:left="284"/>
        <w:jc w:val="both"/>
        <w:rPr>
          <w:rStyle w:val="fontstyle01"/>
          <w:rFonts w:ascii="Times New Roman" w:hAnsi="Times New Roman"/>
        </w:rPr>
      </w:pPr>
    </w:p>
    <w:p w14:paraId="5C75FF11" w14:textId="77777777" w:rsidR="0080728C" w:rsidRDefault="00F658D0">
      <w:pPr>
        <w:pStyle w:val="Normlnywebov"/>
        <w:numPr>
          <w:ilvl w:val="0"/>
          <w:numId w:val="10"/>
        </w:numPr>
        <w:spacing w:before="0" w:after="0" w:line="240" w:lineRule="auto"/>
        <w:ind w:left="284" w:hanging="284"/>
        <w:contextualSpacing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Úhrada zákonného zástupcu dieťaťa v školskej jedálni sa znižuje o dotáciu poskytnutú podľa zákona č. 544/2010 Z. z. o dotáciách v pôsobnosti </w:t>
      </w:r>
      <w:r>
        <w:rPr>
          <w:rStyle w:val="Siln"/>
          <w:b w:val="0"/>
          <w:bCs w:val="0"/>
          <w:color w:val="000000"/>
        </w:rPr>
        <w:t>Ministerstva práce, sociálnych vecí a rodiny Slovenskej republiky.</w:t>
      </w:r>
      <w:r>
        <w:rPr>
          <w:rStyle w:val="Siln"/>
          <w:b w:val="0"/>
          <w:bCs w:val="0"/>
        </w:rPr>
        <w:t xml:space="preserve"> </w:t>
      </w:r>
    </w:p>
    <w:p w14:paraId="3B8CDC03" w14:textId="77777777" w:rsidR="0093167A" w:rsidRDefault="0093167A" w:rsidP="0093167A">
      <w:pPr>
        <w:pStyle w:val="Normlnywebov"/>
        <w:spacing w:before="0" w:after="0" w:line="240" w:lineRule="auto"/>
        <w:ind w:left="284"/>
        <w:contextualSpacing/>
        <w:jc w:val="both"/>
        <w:rPr>
          <w:rStyle w:val="Siln"/>
          <w:b w:val="0"/>
          <w:bCs w:val="0"/>
        </w:rPr>
      </w:pPr>
    </w:p>
    <w:p w14:paraId="792A6676" w14:textId="4D040C1D" w:rsidR="0093167A" w:rsidRDefault="0093167A">
      <w:pPr>
        <w:pStyle w:val="Normlnywebov"/>
        <w:numPr>
          <w:ilvl w:val="0"/>
          <w:numId w:val="10"/>
        </w:numPr>
        <w:spacing w:before="0" w:after="0" w:line="240" w:lineRule="auto"/>
        <w:ind w:left="284" w:hanging="284"/>
        <w:contextualSpacing/>
        <w:jc w:val="both"/>
      </w:pPr>
      <w:r>
        <w:t xml:space="preserve">Zákonný zástupca dieťaťa prispieva na úhradu režijných nákladov v školskej jedálni pre materskej škole 0,10 EUR/deň na jedného stravníka. </w:t>
      </w:r>
    </w:p>
    <w:p w14:paraId="35C70964" w14:textId="77777777" w:rsidR="0080728C" w:rsidRDefault="0080728C">
      <w:pPr>
        <w:pStyle w:val="Normlnywebov"/>
        <w:spacing w:before="0" w:after="0" w:line="240" w:lineRule="auto"/>
        <w:ind w:left="284"/>
        <w:contextualSpacing/>
        <w:jc w:val="both"/>
        <w:rPr>
          <w:rStyle w:val="Siln"/>
          <w:b w:val="0"/>
          <w:bCs w:val="0"/>
        </w:rPr>
      </w:pPr>
    </w:p>
    <w:p w14:paraId="2FC00F7B" w14:textId="36136225" w:rsidR="0080728C" w:rsidRPr="00A06BA1" w:rsidRDefault="00F658D0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sz w:val="24"/>
          <w:szCs w:val="24"/>
        </w:rPr>
        <w:t xml:space="preserve">Výška príspevku sa určuje </w:t>
      </w:r>
      <w:r w:rsidR="00A06BA1" w:rsidRPr="00A06BA1">
        <w:rPr>
          <w:rFonts w:ascii="Times New Roman" w:hAnsi="Times New Roman"/>
          <w:sz w:val="24"/>
          <w:szCs w:val="24"/>
        </w:rPr>
        <w:t>podľa 2</w:t>
      </w:r>
      <w:r w:rsidRPr="00A06BA1">
        <w:rPr>
          <w:rFonts w:ascii="Times New Roman" w:hAnsi="Times New Roman"/>
          <w:sz w:val="24"/>
          <w:szCs w:val="24"/>
        </w:rPr>
        <w:t>. finančného pásma</w:t>
      </w:r>
      <w:r w:rsidR="00812B5D">
        <w:rPr>
          <w:rFonts w:ascii="Times New Roman" w:hAnsi="Times New Roman"/>
          <w:sz w:val="24"/>
          <w:szCs w:val="24"/>
        </w:rPr>
        <w:t xml:space="preserve"> A</w:t>
      </w:r>
      <w:r w:rsidRPr="00A06BA1">
        <w:rPr>
          <w:rFonts w:ascii="Times New Roman" w:hAnsi="Times New Roman"/>
          <w:sz w:val="24"/>
          <w:szCs w:val="24"/>
        </w:rPr>
        <w:t xml:space="preserve"> stanoveného ministerstvom a je nasledovná:</w:t>
      </w:r>
    </w:p>
    <w:p w14:paraId="10E519B2" w14:textId="77777777" w:rsidR="001C22A6" w:rsidRDefault="001C22A6" w:rsidP="002A58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28" w:type="dxa"/>
        <w:tblInd w:w="276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2644"/>
        <w:gridCol w:w="1408"/>
        <w:gridCol w:w="1166"/>
        <w:gridCol w:w="1248"/>
        <w:gridCol w:w="746"/>
        <w:gridCol w:w="1916"/>
      </w:tblGrid>
      <w:tr w:rsidR="002A58DB" w14:paraId="23855CEA" w14:textId="77777777" w:rsidTr="002A58DB">
        <w:trPr>
          <w:trHeight w:val="452"/>
        </w:trPr>
        <w:tc>
          <w:tcPr>
            <w:tcW w:w="26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40177BE2" w14:textId="77777777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Stravník – dieťa v MŠ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5FF86C1C" w14:textId="77777777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1 desiata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5858544C" w14:textId="77777777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1 obed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4FA6D78D" w14:textId="77777777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1 olovrant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</w:tcPr>
          <w:p w14:paraId="7EF212BE" w14:textId="488706F7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Réžia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4EA8244C" w14:textId="2D178E86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Celodenná strava</w:t>
            </w:r>
          </w:p>
        </w:tc>
      </w:tr>
      <w:tr w:rsidR="002A58DB" w14:paraId="7A2B441B" w14:textId="77777777" w:rsidTr="002A58DB">
        <w:trPr>
          <w:trHeight w:hRule="exact" w:val="452"/>
        </w:trPr>
        <w:tc>
          <w:tcPr>
            <w:tcW w:w="26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4E4A46A9" w14:textId="77777777" w:rsidR="002A58DB" w:rsidRDefault="002A58DB" w:rsidP="002A58DB"/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1285B071" w14:textId="77777777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EUR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2DCE99DF" w14:textId="77777777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EUR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69F1CA0A" w14:textId="77777777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EUR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</w:tcPr>
          <w:p w14:paraId="712C089D" w14:textId="7F22FDC7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  <w:rPr>
                <w:color w:val="282828"/>
              </w:rPr>
            </w:pPr>
            <w:r>
              <w:t>EUR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7BE0CD27" w14:textId="12E2E07B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  <w:rPr>
                <w:color w:val="282828"/>
              </w:rPr>
            </w:pPr>
            <w:r>
              <w:rPr>
                <w:color w:val="282828"/>
              </w:rPr>
              <w:t>EUR</w:t>
            </w:r>
          </w:p>
        </w:tc>
      </w:tr>
      <w:tr w:rsidR="002A58DB" w14:paraId="449AAC5E" w14:textId="77777777" w:rsidTr="002A58DB">
        <w:trPr>
          <w:trHeight w:hRule="exact" w:val="452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68E0B239" w14:textId="77777777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Stravníci od 2 – 6 rokov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0F221CA3" w14:textId="55935D7B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 0,45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2AB14A38" w14:textId="2151F304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 1,10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6E79183D" w14:textId="63393306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0,35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</w:tcPr>
          <w:p w14:paraId="35169491" w14:textId="7C6EC981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0,10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36A3CA75" w14:textId="4E0434B5" w:rsidR="002A58DB" w:rsidRDefault="002A58DB" w:rsidP="002A58DB">
            <w:pPr>
              <w:pStyle w:val="Normlnywebov"/>
              <w:widowControl w:val="0"/>
              <w:spacing w:before="100" w:after="100"/>
              <w:jc w:val="center"/>
            </w:pPr>
            <w:r>
              <w:t>2,00</w:t>
            </w:r>
          </w:p>
        </w:tc>
      </w:tr>
    </w:tbl>
    <w:tbl>
      <w:tblPr>
        <w:tblpPr w:leftFromText="141" w:rightFromText="141" w:vertAnchor="text" w:horzAnchor="margin" w:tblpXSpec="right" w:tblpY="329"/>
        <w:tblW w:w="918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3547"/>
        <w:gridCol w:w="1952"/>
        <w:gridCol w:w="1844"/>
        <w:gridCol w:w="1844"/>
      </w:tblGrid>
      <w:tr w:rsidR="0093167A" w14:paraId="2354FCE9" w14:textId="77777777" w:rsidTr="0093167A">
        <w:trPr>
          <w:trHeight w:hRule="exact" w:val="471"/>
        </w:trPr>
        <w:tc>
          <w:tcPr>
            <w:tcW w:w="35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49EC6BE3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Stravník – žiak v ZŠ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0DF3BCDC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1 obed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</w:tcPr>
          <w:p w14:paraId="5AA0EBC8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Réžia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</w:tcPr>
          <w:p w14:paraId="6A8249C5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Obed spolu</w:t>
            </w:r>
          </w:p>
        </w:tc>
      </w:tr>
      <w:tr w:rsidR="0093167A" w14:paraId="0BFF3FB2" w14:textId="77777777" w:rsidTr="0093167A">
        <w:trPr>
          <w:trHeight w:hRule="exact" w:val="471"/>
        </w:trPr>
        <w:tc>
          <w:tcPr>
            <w:tcW w:w="35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0E77312B" w14:textId="77777777" w:rsidR="0093167A" w:rsidRDefault="0093167A" w:rsidP="0093167A"/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0DA5ECC8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EUR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</w:tcPr>
          <w:p w14:paraId="317963F0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EUR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</w:tcPr>
          <w:p w14:paraId="18FBB945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EUR</w:t>
            </w:r>
          </w:p>
        </w:tc>
      </w:tr>
      <w:tr w:rsidR="0093167A" w14:paraId="779A627F" w14:textId="77777777" w:rsidTr="0093167A">
        <w:trPr>
          <w:trHeight w:hRule="exact" w:val="471"/>
        </w:trPr>
        <w:tc>
          <w:tcPr>
            <w:tcW w:w="3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5A3B48E8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Stravníci od 6 – 11 rokov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  <w:vAlign w:val="center"/>
          </w:tcPr>
          <w:p w14:paraId="2F68E3CB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1,50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</w:tcPr>
          <w:p w14:paraId="65F7B1B8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0,10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8"/>
          </w:tcPr>
          <w:p w14:paraId="6A69CAEA" w14:textId="77777777" w:rsidR="0093167A" w:rsidRDefault="0093167A" w:rsidP="0093167A">
            <w:pPr>
              <w:pStyle w:val="Normlnywebov"/>
              <w:widowControl w:val="0"/>
              <w:spacing w:before="100" w:after="100"/>
              <w:jc w:val="center"/>
            </w:pPr>
            <w:r>
              <w:t>1,60</w:t>
            </w:r>
          </w:p>
        </w:tc>
      </w:tr>
    </w:tbl>
    <w:p w14:paraId="427AE96D" w14:textId="77777777" w:rsidR="001C22A6" w:rsidRDefault="001C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059C54E" w14:textId="77777777" w:rsidR="001C22A6" w:rsidRPr="001C22A6" w:rsidRDefault="001C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EF2F87D" w14:textId="77777777" w:rsidR="0080728C" w:rsidRDefault="00F658D0">
      <w:pPr>
        <w:pStyle w:val="Normlnywebov"/>
        <w:spacing w:before="100" w:after="100" w:line="240" w:lineRule="auto"/>
        <w:jc w:val="center"/>
      </w:pPr>
      <w:r>
        <w:rPr>
          <w:rStyle w:val="Siln"/>
        </w:rPr>
        <w:lastRenderedPageBreak/>
        <w:t>§ 7</w:t>
      </w:r>
      <w:r>
        <w:br/>
      </w:r>
      <w:r>
        <w:rPr>
          <w:rStyle w:val="Siln"/>
        </w:rPr>
        <w:t>Stravovanie a príspevok dospelých stravníkov v zariadení školského stravovania</w:t>
      </w:r>
    </w:p>
    <w:p w14:paraId="1A337AE7" w14:textId="77777777" w:rsidR="0080728C" w:rsidRDefault="0080728C">
      <w:pPr>
        <w:pStyle w:val="Normlnywebov"/>
        <w:spacing w:before="100" w:after="100" w:line="240" w:lineRule="auto"/>
        <w:jc w:val="center"/>
        <w:rPr>
          <w:rStyle w:val="Siln"/>
        </w:rPr>
      </w:pPr>
    </w:p>
    <w:p w14:paraId="43FEA732" w14:textId="77777777" w:rsidR="0080728C" w:rsidRPr="0093167A" w:rsidRDefault="00F658D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93167A">
        <w:rPr>
          <w:rFonts w:ascii="Times New Roman" w:hAnsi="Times New Roman"/>
          <w:sz w:val="24"/>
          <w:szCs w:val="24"/>
        </w:rPr>
        <w:t>Zriaďovateľ súhlasí so stravovaním dospelej osoby v zariadeniach školského stravovania.</w:t>
      </w:r>
    </w:p>
    <w:p w14:paraId="1B610CCD" w14:textId="77777777" w:rsidR="0080728C" w:rsidRPr="0093167A" w:rsidRDefault="0080728C">
      <w:pPr>
        <w:tabs>
          <w:tab w:val="left" w:pos="720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14:paraId="7534E624" w14:textId="0E5BFE93" w:rsidR="0080728C" w:rsidRPr="0093167A" w:rsidRDefault="00F658D0">
      <w:pPr>
        <w:numPr>
          <w:ilvl w:val="0"/>
          <w:numId w:val="8"/>
        </w:numPr>
        <w:tabs>
          <w:tab w:val="left" w:pos="720"/>
        </w:tabs>
        <w:spacing w:after="0" w:line="256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93167A">
        <w:rPr>
          <w:rFonts w:ascii="Times New Roman" w:hAnsi="Times New Roman"/>
          <w:sz w:val="24"/>
          <w:szCs w:val="24"/>
        </w:rPr>
        <w:t>Denný príspevok dospelých stravníkov na n</w:t>
      </w:r>
      <w:r w:rsidR="002A58DB" w:rsidRPr="0093167A">
        <w:rPr>
          <w:rFonts w:ascii="Times New Roman" w:hAnsi="Times New Roman"/>
          <w:sz w:val="24"/>
          <w:szCs w:val="24"/>
        </w:rPr>
        <w:t xml:space="preserve">ákup potravín sa uhrádza podľa </w:t>
      </w:r>
      <w:r w:rsidR="00812B5D" w:rsidRPr="0093167A">
        <w:rPr>
          <w:rFonts w:ascii="Times New Roman" w:hAnsi="Times New Roman"/>
          <w:sz w:val="24"/>
          <w:szCs w:val="24"/>
        </w:rPr>
        <w:t>2</w:t>
      </w:r>
      <w:r w:rsidRPr="0093167A">
        <w:rPr>
          <w:rFonts w:ascii="Times New Roman" w:hAnsi="Times New Roman"/>
          <w:sz w:val="24"/>
          <w:szCs w:val="24"/>
        </w:rPr>
        <w:t>. finančného pásma</w:t>
      </w:r>
      <w:r w:rsidR="00812B5D" w:rsidRPr="0093167A">
        <w:rPr>
          <w:rFonts w:ascii="Times New Roman" w:hAnsi="Times New Roman"/>
          <w:sz w:val="24"/>
          <w:szCs w:val="24"/>
        </w:rPr>
        <w:t xml:space="preserve"> B</w:t>
      </w:r>
      <w:r w:rsidRPr="0093167A">
        <w:rPr>
          <w:rFonts w:ascii="Times New Roman" w:hAnsi="Times New Roman"/>
          <w:sz w:val="24"/>
          <w:szCs w:val="24"/>
        </w:rPr>
        <w:t xml:space="preserve"> stanoveného ministerstvom pre vekovú kategóriu stravníkov od 15 do 19 rokov žiaka strednej školy.</w:t>
      </w:r>
    </w:p>
    <w:p w14:paraId="096DF2D6" w14:textId="77777777" w:rsidR="0080728C" w:rsidRPr="0093167A" w:rsidRDefault="0080728C">
      <w:pPr>
        <w:tabs>
          <w:tab w:val="left" w:pos="720"/>
        </w:tabs>
        <w:spacing w:after="0" w:line="256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14:paraId="5A09A3AD" w14:textId="743EAE61" w:rsidR="0080728C" w:rsidRPr="0093167A" w:rsidRDefault="00F658D0" w:rsidP="00812B5D">
      <w:pPr>
        <w:numPr>
          <w:ilvl w:val="0"/>
          <w:numId w:val="8"/>
        </w:numPr>
        <w:tabs>
          <w:tab w:val="left" w:pos="720"/>
        </w:tabs>
        <w:spacing w:after="0" w:line="256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93167A">
        <w:rPr>
          <w:rFonts w:ascii="Times New Roman" w:hAnsi="Times New Roman"/>
          <w:sz w:val="24"/>
          <w:szCs w:val="24"/>
        </w:rPr>
        <w:t>Náklady na nákup potravín na jedno jedlo pre dospeléh</w:t>
      </w:r>
      <w:r w:rsidR="00812B5D" w:rsidRPr="0093167A">
        <w:rPr>
          <w:rFonts w:ascii="Times New Roman" w:hAnsi="Times New Roman"/>
          <w:sz w:val="24"/>
          <w:szCs w:val="24"/>
        </w:rPr>
        <w:t>o stravníka sa určujú vo výške 2,20</w:t>
      </w:r>
      <w:r w:rsidR="004C7BDB" w:rsidRPr="0093167A">
        <w:rPr>
          <w:rFonts w:ascii="Times New Roman" w:hAnsi="Times New Roman"/>
          <w:sz w:val="24"/>
          <w:szCs w:val="24"/>
        </w:rPr>
        <w:t xml:space="preserve"> </w:t>
      </w:r>
      <w:r w:rsidRPr="0093167A">
        <w:rPr>
          <w:rFonts w:ascii="Times New Roman" w:hAnsi="Times New Roman"/>
          <w:sz w:val="24"/>
          <w:szCs w:val="24"/>
        </w:rPr>
        <w:t>EU</w:t>
      </w:r>
      <w:r w:rsidR="00812B5D" w:rsidRPr="0093167A">
        <w:rPr>
          <w:rFonts w:ascii="Times New Roman" w:hAnsi="Times New Roman"/>
          <w:sz w:val="24"/>
          <w:szCs w:val="24"/>
        </w:rPr>
        <w:t>R, režijné náklady vo výške 2,69 EUR, cena obalu na jedlo 0,31 EUR. Cena obedu SPOLU 5,20 EUR</w:t>
      </w:r>
      <w:r w:rsidR="0093167A">
        <w:rPr>
          <w:rFonts w:ascii="Times New Roman" w:hAnsi="Times New Roman"/>
          <w:sz w:val="24"/>
          <w:szCs w:val="24"/>
        </w:rPr>
        <w:t>.</w:t>
      </w:r>
    </w:p>
    <w:p w14:paraId="3ED91CEF" w14:textId="77777777" w:rsidR="0080728C" w:rsidRPr="0093167A" w:rsidRDefault="0080728C">
      <w:pPr>
        <w:tabs>
          <w:tab w:val="left" w:pos="720"/>
        </w:tabs>
        <w:spacing w:after="0" w:line="256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14:paraId="2A37C4AF" w14:textId="5BEF6541" w:rsidR="0080728C" w:rsidRPr="0093167A" w:rsidRDefault="00F658D0">
      <w:pPr>
        <w:numPr>
          <w:ilvl w:val="0"/>
          <w:numId w:val="8"/>
        </w:numPr>
        <w:tabs>
          <w:tab w:val="left" w:pos="720"/>
        </w:tabs>
        <w:spacing w:after="0" w:line="256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93167A">
        <w:rPr>
          <w:rFonts w:ascii="Times New Roman" w:hAnsi="Times New Roman"/>
          <w:sz w:val="24"/>
          <w:szCs w:val="24"/>
        </w:rPr>
        <w:t>Dospelý stravník uhrádza za jedno hlavné jedlo cenu, ktorá sa skladá z príspevku vo výš</w:t>
      </w:r>
      <w:r w:rsidR="00812B5D" w:rsidRPr="0093167A">
        <w:rPr>
          <w:rFonts w:ascii="Times New Roman" w:hAnsi="Times New Roman"/>
          <w:sz w:val="24"/>
          <w:szCs w:val="24"/>
        </w:rPr>
        <w:t xml:space="preserve">ke nákladov na nákup potravín, </w:t>
      </w:r>
      <w:r w:rsidRPr="0093167A">
        <w:rPr>
          <w:rFonts w:ascii="Times New Roman" w:hAnsi="Times New Roman"/>
          <w:sz w:val="24"/>
          <w:szCs w:val="24"/>
        </w:rPr>
        <w:t>režijných nákladov</w:t>
      </w:r>
      <w:r w:rsidR="00812B5D" w:rsidRPr="0093167A">
        <w:rPr>
          <w:rFonts w:ascii="Times New Roman" w:hAnsi="Times New Roman"/>
          <w:sz w:val="24"/>
          <w:szCs w:val="24"/>
        </w:rPr>
        <w:t xml:space="preserve"> a nákladov </w:t>
      </w:r>
      <w:r w:rsidR="0093167A" w:rsidRPr="0093167A">
        <w:rPr>
          <w:rFonts w:ascii="Times New Roman" w:hAnsi="Times New Roman"/>
          <w:sz w:val="24"/>
          <w:szCs w:val="24"/>
        </w:rPr>
        <w:t>na obal</w:t>
      </w:r>
      <w:r w:rsidRPr="0093167A">
        <w:rPr>
          <w:rFonts w:ascii="Times New Roman" w:hAnsi="Times New Roman"/>
          <w:sz w:val="24"/>
          <w:szCs w:val="24"/>
        </w:rPr>
        <w:t>.</w:t>
      </w:r>
    </w:p>
    <w:p w14:paraId="38812878" w14:textId="77777777" w:rsidR="0080728C" w:rsidRPr="0093167A" w:rsidRDefault="0080728C">
      <w:pPr>
        <w:tabs>
          <w:tab w:val="left" w:pos="720"/>
        </w:tabs>
        <w:spacing w:after="0" w:line="256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14:paraId="4DFA5497" w14:textId="23C0C640" w:rsidR="0080728C" w:rsidRPr="0093167A" w:rsidRDefault="00F658D0">
      <w:pPr>
        <w:numPr>
          <w:ilvl w:val="0"/>
          <w:numId w:val="8"/>
        </w:numPr>
        <w:tabs>
          <w:tab w:val="left" w:pos="720"/>
        </w:tabs>
        <w:spacing w:after="0" w:line="256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93167A">
        <w:rPr>
          <w:rFonts w:ascii="Times New Roman" w:hAnsi="Times New Roman"/>
          <w:sz w:val="24"/>
          <w:szCs w:val="24"/>
        </w:rPr>
        <w:t>Stravovanie zamestnancov sa realizuje v súlade so</w:t>
      </w:r>
      <w:r w:rsidR="001C22A6" w:rsidRPr="0093167A">
        <w:rPr>
          <w:rFonts w:ascii="Times New Roman" w:hAnsi="Times New Roman"/>
          <w:sz w:val="24"/>
          <w:szCs w:val="24"/>
        </w:rPr>
        <w:t xml:space="preserve"> </w:t>
      </w:r>
      <w:r w:rsidRPr="0093167A">
        <w:rPr>
          <w:rFonts w:ascii="Times New Roman" w:hAnsi="Times New Roman"/>
          <w:sz w:val="24"/>
          <w:szCs w:val="24"/>
        </w:rPr>
        <w:t xml:space="preserve">Zákonníkom práce. Hodnota </w:t>
      </w:r>
      <w:r w:rsidR="0093167A" w:rsidRPr="0093167A">
        <w:rPr>
          <w:rFonts w:ascii="Times New Roman" w:hAnsi="Times New Roman"/>
          <w:sz w:val="24"/>
          <w:szCs w:val="24"/>
        </w:rPr>
        <w:t>obeda sa stanovuje na sumu 4</w:t>
      </w:r>
      <w:r w:rsidR="005979D1">
        <w:rPr>
          <w:rFonts w:ascii="Times New Roman" w:hAnsi="Times New Roman"/>
          <w:sz w:val="24"/>
          <w:szCs w:val="24"/>
        </w:rPr>
        <w:t>,9</w:t>
      </w:r>
      <w:r w:rsidR="00142B33">
        <w:rPr>
          <w:rFonts w:ascii="Times New Roman" w:hAnsi="Times New Roman"/>
          <w:sz w:val="24"/>
          <w:szCs w:val="24"/>
        </w:rPr>
        <w:t>9</w:t>
      </w:r>
      <w:r w:rsidRPr="0093167A">
        <w:rPr>
          <w:rFonts w:ascii="Times New Roman" w:hAnsi="Times New Roman"/>
          <w:sz w:val="24"/>
          <w:szCs w:val="24"/>
        </w:rPr>
        <w:t xml:space="preserve"> EUR, pričom zamestnanec a zamestnávateľ prispievajú sumou upravenou vnútorným predpisom školy </w:t>
      </w:r>
      <w:r w:rsidRPr="0093167A">
        <w:rPr>
          <w:rFonts w:ascii="Times New Roman" w:hAnsi="Times New Roman" w:cs="Times New Roman"/>
          <w:sz w:val="24"/>
          <w:szCs w:val="24"/>
        </w:rPr>
        <w:t>a školského zariadenia</w:t>
      </w:r>
      <w:r w:rsidRPr="0093167A">
        <w:rPr>
          <w:rFonts w:ascii="Times New Roman" w:hAnsi="Times New Roman"/>
          <w:sz w:val="24"/>
          <w:szCs w:val="24"/>
        </w:rPr>
        <w:t>.</w:t>
      </w:r>
    </w:p>
    <w:p w14:paraId="178C0C42" w14:textId="77777777" w:rsidR="0080728C" w:rsidRDefault="0080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BF0CED" w14:textId="77777777" w:rsidR="0080728C" w:rsidRDefault="0080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FCED8" w14:textId="77777777" w:rsidR="0080728C" w:rsidRDefault="0080728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48EF9ED" w14:textId="77777777" w:rsidR="0080728C" w:rsidRDefault="00F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TRETIA ČASŤ</w:t>
      </w:r>
    </w:p>
    <w:p w14:paraId="3C16E18C" w14:textId="77777777" w:rsidR="0080728C" w:rsidRDefault="00F658D0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SPOLOČNÉ, ZRUŠOVACIE A ZÁVEREČNÉ USTANOVENIA</w:t>
      </w:r>
    </w:p>
    <w:p w14:paraId="54D799A4" w14:textId="77777777" w:rsidR="0080728C" w:rsidRDefault="0080728C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2E03FD" w14:textId="77777777" w:rsidR="0080728C" w:rsidRDefault="00F658D0">
      <w:pPr>
        <w:pStyle w:val="Normlnywebov"/>
        <w:spacing w:before="100" w:after="100" w:line="240" w:lineRule="auto"/>
        <w:jc w:val="center"/>
      </w:pPr>
      <w:r>
        <w:rPr>
          <w:rStyle w:val="Siln"/>
        </w:rPr>
        <w:t>§ 8</w:t>
      </w:r>
      <w:r>
        <w:br/>
      </w:r>
      <w:r>
        <w:rPr>
          <w:rStyle w:val="Siln"/>
        </w:rPr>
        <w:t>Úhrada príspevku</w:t>
      </w:r>
    </w:p>
    <w:p w14:paraId="765BF1D3" w14:textId="77777777" w:rsidR="0080728C" w:rsidRDefault="0080728C">
      <w:pPr>
        <w:pStyle w:val="Normlnywebov"/>
        <w:spacing w:before="100" w:after="100" w:line="240" w:lineRule="auto"/>
        <w:jc w:val="center"/>
        <w:rPr>
          <w:rStyle w:val="Siln"/>
        </w:rPr>
      </w:pPr>
    </w:p>
    <w:p w14:paraId="405921AA" w14:textId="77777777" w:rsidR="0080728C" w:rsidRDefault="00F658D0">
      <w:pPr>
        <w:pStyle w:val="Odsekzoznamu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dieťa/žiak prijaté do materskej školy a školského zariadenia v priebehu školského roka, za prvý mesiac dochádzky sa príspevok uhrádza vždy do troch pracovných dní odo dňa, v ktorom bolo doručené rozhodnutie o prijatí dieťaťa/žiaka do školy.</w:t>
      </w:r>
    </w:p>
    <w:p w14:paraId="366D53E5" w14:textId="77777777" w:rsidR="0080728C" w:rsidRDefault="00F658D0">
      <w:pPr>
        <w:numPr>
          <w:ilvl w:val="0"/>
          <w:numId w:val="7"/>
        </w:numPr>
        <w:tabs>
          <w:tab w:val="left" w:pos="720"/>
        </w:tabs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zástupca má povinnosť príspevok uhradiť spôsobom a za podmienok, ktoré určí riaditeľ vo vnútornom predpise.</w:t>
      </w:r>
    </w:p>
    <w:p w14:paraId="1B384991" w14:textId="77777777" w:rsidR="0080728C" w:rsidRDefault="00F658D0">
      <w:pPr>
        <w:numPr>
          <w:ilvl w:val="0"/>
          <w:numId w:val="7"/>
        </w:numPr>
        <w:tabs>
          <w:tab w:val="left" w:pos="720"/>
        </w:tabs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je povinný účinné nariadenie, ako aj vnútorný predpis o podmienkach úhrady príspevku zverejniť na webovom sídle školy a vo verejne prístupných priestoroch školy </w:t>
      </w:r>
      <w:r>
        <w:rPr>
          <w:rFonts w:ascii="Times New Roman" w:hAnsi="Times New Roman" w:cs="Times New Roman"/>
          <w:sz w:val="24"/>
          <w:szCs w:val="24"/>
        </w:rPr>
        <w:t>a školského zariadenia</w:t>
      </w:r>
      <w:r>
        <w:rPr>
          <w:rFonts w:ascii="Times New Roman" w:hAnsi="Times New Roman"/>
          <w:sz w:val="24"/>
          <w:szCs w:val="24"/>
        </w:rPr>
        <w:t>.</w:t>
      </w:r>
    </w:p>
    <w:p w14:paraId="596AFD31" w14:textId="77777777" w:rsidR="0080728C" w:rsidRDefault="00F658D0">
      <w:pPr>
        <w:numPr>
          <w:ilvl w:val="0"/>
          <w:numId w:val="7"/>
        </w:numPr>
        <w:tabs>
          <w:tab w:val="left" w:pos="720"/>
        </w:tabs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je povinný na stretnutí zákonných zástupcov a rodičov detí a žiakov (rodičovskom združení) informovať o výške príspevkov uhrádzaných zákonnými zástupcami.</w:t>
      </w:r>
    </w:p>
    <w:p w14:paraId="78801F82" w14:textId="77777777" w:rsidR="0080728C" w:rsidRDefault="008072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5AED7" w14:textId="77777777" w:rsidR="0080728C" w:rsidRDefault="00F658D0">
      <w:pPr>
        <w:pStyle w:val="Normlnywebov"/>
        <w:spacing w:before="100" w:after="100" w:line="240" w:lineRule="auto"/>
        <w:jc w:val="center"/>
      </w:pPr>
      <w:r>
        <w:rPr>
          <w:rStyle w:val="Siln"/>
        </w:rPr>
        <w:t>§ 9</w:t>
      </w:r>
      <w:r>
        <w:br/>
      </w:r>
      <w:r>
        <w:rPr>
          <w:rStyle w:val="Siln"/>
        </w:rPr>
        <w:t>Zrušovacie ustanovenia</w:t>
      </w:r>
    </w:p>
    <w:p w14:paraId="1A516E9C" w14:textId="77777777" w:rsidR="0080728C" w:rsidRDefault="0080728C">
      <w:pPr>
        <w:pStyle w:val="Normlnywebov"/>
        <w:spacing w:before="100" w:after="100" w:line="240" w:lineRule="auto"/>
        <w:jc w:val="center"/>
        <w:rPr>
          <w:rStyle w:val="Siln"/>
        </w:rPr>
      </w:pPr>
    </w:p>
    <w:p w14:paraId="2F3F2377" w14:textId="353583E0" w:rsidR="001C22A6" w:rsidRDefault="00F658D0" w:rsidP="0093167A">
      <w:pPr>
        <w:pStyle w:val="Normlnywebov"/>
        <w:spacing w:before="100" w:after="100" w:line="240" w:lineRule="auto"/>
        <w:jc w:val="both"/>
      </w:pPr>
      <w:r>
        <w:t>Dňom nadobudnutia účinnosti tohto nariadenia sa ruší V</w:t>
      </w:r>
      <w:r>
        <w:rPr>
          <w:color w:val="000000"/>
        </w:rPr>
        <w:t>š</w:t>
      </w:r>
      <w:r w:rsidR="000A7B12">
        <w:rPr>
          <w:color w:val="000000"/>
        </w:rPr>
        <w:t>eobecne záväzné nariadenie č. 1/2018</w:t>
      </w:r>
      <w:r>
        <w:rPr>
          <w:color w:val="000000"/>
        </w:rPr>
        <w:t xml:space="preserve"> o určení výšky príspevku v školách a školských zariadeni</w:t>
      </w:r>
      <w:r w:rsidR="000A7B12">
        <w:rPr>
          <w:color w:val="000000"/>
        </w:rPr>
        <w:t>ach v znení dodatkov č 1 až č. 3</w:t>
      </w:r>
      <w:bookmarkStart w:id="0" w:name="_GoBack"/>
      <w:bookmarkEnd w:id="0"/>
      <w:r>
        <w:rPr>
          <w:color w:val="000000"/>
        </w:rPr>
        <w:t>.</w:t>
      </w:r>
    </w:p>
    <w:p w14:paraId="24405BF5" w14:textId="77777777" w:rsidR="0080728C" w:rsidRDefault="00F658D0">
      <w:pPr>
        <w:pStyle w:val="Normlnywebov"/>
        <w:spacing w:before="100" w:after="100" w:line="240" w:lineRule="auto"/>
        <w:jc w:val="center"/>
      </w:pPr>
      <w:r>
        <w:rPr>
          <w:rStyle w:val="Siln"/>
        </w:rPr>
        <w:lastRenderedPageBreak/>
        <w:t>§ 10</w:t>
      </w:r>
      <w:r>
        <w:br/>
      </w:r>
      <w:r>
        <w:rPr>
          <w:rStyle w:val="Siln"/>
        </w:rPr>
        <w:t>Záverečné ustanovenia</w:t>
      </w:r>
    </w:p>
    <w:p w14:paraId="541483AB" w14:textId="77777777" w:rsidR="0080728C" w:rsidRDefault="0080728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0C23C5" w14:textId="20503FF0" w:rsidR="0080728C" w:rsidRDefault="00F658D0">
      <w:pPr>
        <w:pStyle w:val="Odsekzoznamu"/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Nariadenie bolo schválené obecným zastupiteľstvom v</w:t>
      </w:r>
      <w:r w:rsidR="0093167A">
        <w:rPr>
          <w:rFonts w:ascii="Times New Roman" w:hAnsi="Times New Roman" w:cs="Times New Roman"/>
          <w:sz w:val="24"/>
          <w:szCs w:val="24"/>
        </w:rPr>
        <w:t> </w:t>
      </w:r>
      <w:r w:rsidR="0093167A" w:rsidRPr="0093167A">
        <w:rPr>
          <w:rFonts w:ascii="Times New Roman" w:hAnsi="Times New Roman" w:cs="Times New Roman"/>
          <w:sz w:val="24"/>
          <w:szCs w:val="24"/>
        </w:rPr>
        <w:t xml:space="preserve">Matejovciach </w:t>
      </w:r>
      <w:r w:rsidR="0093167A">
        <w:rPr>
          <w:rFonts w:ascii="Times New Roman" w:hAnsi="Times New Roman" w:cs="Times New Roman"/>
          <w:sz w:val="24"/>
          <w:szCs w:val="24"/>
        </w:rPr>
        <w:t>nad Hornádom</w:t>
      </w:r>
      <w:r>
        <w:rPr>
          <w:rFonts w:ascii="Times New Roman" w:hAnsi="Times New Roman" w:cs="Times New Roman"/>
          <w:sz w:val="24"/>
          <w:szCs w:val="24"/>
        </w:rPr>
        <w:t xml:space="preserve"> uznesením číslo ____/_____ zo dňa __________.</w:t>
      </w:r>
    </w:p>
    <w:p w14:paraId="16C4FE95" w14:textId="77777777" w:rsidR="0080728C" w:rsidRDefault="0080728C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E674E95" w14:textId="77777777" w:rsidR="0080728C" w:rsidRDefault="00F658D0">
      <w:pPr>
        <w:pStyle w:val="Odsekzoznamu"/>
        <w:numPr>
          <w:ilvl w:val="1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Nariadenie nadobúda účinnosť dňa ________.</w:t>
      </w:r>
    </w:p>
    <w:p w14:paraId="7C3E634C" w14:textId="77777777" w:rsidR="0080728C" w:rsidRDefault="0080728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44B28" w14:textId="77777777" w:rsidR="0080728C" w:rsidRDefault="0080728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873EA6B" w14:textId="77777777" w:rsidR="0080728C" w:rsidRDefault="0080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1F4B6C7" w14:textId="77777777" w:rsidR="0080728C" w:rsidRDefault="0080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414E692" w14:textId="77777777" w:rsidR="0080728C" w:rsidRDefault="0080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1583397" w14:textId="45F4104A" w:rsidR="0093167A" w:rsidRDefault="00931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DE2AFC" w14:textId="77777777" w:rsidR="0080728C" w:rsidRDefault="00F65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5623C503" w14:textId="56E75E26" w:rsidR="0080728C" w:rsidRDefault="00F658D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316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Mgr. Ivana </w:t>
      </w:r>
      <w:proofErr w:type="spellStart"/>
      <w:r w:rsidR="009316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Hrebenárová</w:t>
      </w:r>
      <w:proofErr w:type="spellEnd"/>
    </w:p>
    <w:p w14:paraId="3549D829" w14:textId="41B1A3D8" w:rsidR="0080728C" w:rsidRDefault="00F658D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 starost</w:t>
      </w:r>
      <w:r w:rsidR="009316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obce</w:t>
      </w:r>
    </w:p>
    <w:p w14:paraId="6CF66F17" w14:textId="77777777" w:rsidR="0080728C" w:rsidRDefault="0080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10A929" w14:textId="77777777" w:rsidR="004037AF" w:rsidRDefault="00403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3661A3" w14:textId="77777777" w:rsidR="004037AF" w:rsidRDefault="00403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2BD6FF" w14:textId="77777777" w:rsidR="004037AF" w:rsidRDefault="004037AF" w:rsidP="00931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42B91" w14:textId="77777777" w:rsidR="0093167A" w:rsidRDefault="0093167A" w:rsidP="00931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A257B" w14:textId="77777777" w:rsidR="0022150C" w:rsidRDefault="0022150C" w:rsidP="00931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39E5E" w14:textId="3C8E4FB2" w:rsidR="004037AF" w:rsidRDefault="004037AF" w:rsidP="004037AF">
      <w:pPr>
        <w:pStyle w:val="western"/>
      </w:pPr>
      <w:r>
        <w:t>Návrh všeobecn</w:t>
      </w:r>
      <w:r w:rsidR="0093167A">
        <w:t>e záväzného nariadenia č. 1/2023</w:t>
      </w:r>
      <w:r>
        <w:t xml:space="preserve"> </w:t>
      </w:r>
      <w:r>
        <w:rPr>
          <w:color w:val="000000"/>
        </w:rPr>
        <w:t xml:space="preserve">o určení výšky finančných príspevkov na čiastočnú úhradu nákladov na výchovu a vzdelanie v školách a školských zariadeniach </w:t>
      </w:r>
      <w:r>
        <w:t>zverejnený na pripomienkovanie v zmysle § 6 ods. 3 a 4 zákona č. 369/1990 Zb. o obecnom zriadení v znení neskorších predpisov:</w:t>
      </w:r>
    </w:p>
    <w:p w14:paraId="433F8305" w14:textId="77777777" w:rsidR="004037AF" w:rsidRPr="00D44DFA" w:rsidRDefault="004037AF" w:rsidP="004037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</w:tblGrid>
      <w:tr w:rsidR="004037AF" w:rsidRPr="00D44DFA" w14:paraId="1B46DB8E" w14:textId="77777777" w:rsidTr="004037AF">
        <w:tc>
          <w:tcPr>
            <w:tcW w:w="6941" w:type="dxa"/>
          </w:tcPr>
          <w:p w14:paraId="76922EDB" w14:textId="77777777" w:rsidR="004037AF" w:rsidRPr="00D44DFA" w:rsidRDefault="004037AF" w:rsidP="009C37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A">
              <w:rPr>
                <w:rFonts w:ascii="Times New Roman" w:hAnsi="Times New Roman" w:cs="Times New Roman"/>
                <w:sz w:val="24"/>
                <w:szCs w:val="24"/>
              </w:rPr>
              <w:t>Vyvesený na úradnej tabuli dňa:</w:t>
            </w:r>
          </w:p>
        </w:tc>
        <w:tc>
          <w:tcPr>
            <w:tcW w:w="2410" w:type="dxa"/>
            <w:shd w:val="clear" w:color="auto" w:fill="F3F3F3"/>
          </w:tcPr>
          <w:p w14:paraId="611C71CE" w14:textId="1AFD823B" w:rsidR="004037AF" w:rsidRPr="00D44DFA" w:rsidRDefault="001428A5" w:rsidP="009C37A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3. 1. 2023</w:t>
            </w:r>
          </w:p>
        </w:tc>
      </w:tr>
      <w:tr w:rsidR="004037AF" w:rsidRPr="00D44DFA" w14:paraId="75A0BB2F" w14:textId="77777777" w:rsidTr="004037AF">
        <w:tc>
          <w:tcPr>
            <w:tcW w:w="6941" w:type="dxa"/>
          </w:tcPr>
          <w:p w14:paraId="0861A9C3" w14:textId="77777777" w:rsidR="004037AF" w:rsidRPr="00D44DFA" w:rsidRDefault="004037AF" w:rsidP="004037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A">
              <w:rPr>
                <w:rFonts w:ascii="Times New Roman" w:hAnsi="Times New Roman" w:cs="Times New Roman"/>
                <w:sz w:val="24"/>
                <w:szCs w:val="24"/>
              </w:rPr>
              <w:t>Zverejnený na webovom sídle obce dňa:</w:t>
            </w:r>
          </w:p>
        </w:tc>
        <w:tc>
          <w:tcPr>
            <w:tcW w:w="2410" w:type="dxa"/>
            <w:shd w:val="clear" w:color="auto" w:fill="F3F3F3"/>
          </w:tcPr>
          <w:p w14:paraId="25BA42C8" w14:textId="0A79D5C6" w:rsidR="004037AF" w:rsidRPr="00D44DFA" w:rsidRDefault="001428A5" w:rsidP="009C37A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3. 1. 2023</w:t>
            </w:r>
          </w:p>
        </w:tc>
      </w:tr>
      <w:tr w:rsidR="004037AF" w:rsidRPr="00D44DFA" w14:paraId="45C43B23" w14:textId="77777777" w:rsidTr="004037AF">
        <w:tc>
          <w:tcPr>
            <w:tcW w:w="9351" w:type="dxa"/>
            <w:gridSpan w:val="2"/>
          </w:tcPr>
          <w:p w14:paraId="05666F30" w14:textId="77777777" w:rsidR="004037AF" w:rsidRPr="004037AF" w:rsidRDefault="004037AF" w:rsidP="0040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F">
              <w:rPr>
                <w:rFonts w:ascii="Times New Roman" w:hAnsi="Times New Roman" w:cs="Times New Roman"/>
                <w:sz w:val="24"/>
                <w:szCs w:val="24"/>
              </w:rPr>
              <w:t>Dňom vyvesenia návrhu nariadenia začína plynúť desaťdňová lehota, počas ktorej môžu fyzické osoby a právnické osoby uplatniť pripomienku k návrhu nariadenia v písomnej forme, elektronicky alebo ústne do zápisnice na obecnom úrade. Pripomienkou možno v určenej lehote navrhnúť nový text alebo odporučiť úpravu textu, a to doplnenie, zmenu, vypustenie alebo spresnenie pôvodného textu. Z pripomienky musí byť zrejmé, kto ju predkladá. Na ostatné podnety nemusí navrhovateľ nariadenia prihliadať, a to najmä vtedy, ak nie sú zdôvodnené.</w:t>
            </w:r>
          </w:p>
        </w:tc>
      </w:tr>
    </w:tbl>
    <w:p w14:paraId="141D781F" w14:textId="77777777" w:rsidR="004037AF" w:rsidRPr="00D44DFA" w:rsidRDefault="004037AF" w:rsidP="004037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995FEE6" w14:textId="60AC8BF0" w:rsidR="004037AF" w:rsidRDefault="004037AF" w:rsidP="004037AF">
      <w:pPr>
        <w:pStyle w:val="western"/>
        <w:suppressAutoHyphens/>
      </w:pPr>
      <w:r>
        <w:t>Schválené všeobe</w:t>
      </w:r>
      <w:r w:rsidR="0093167A">
        <w:t>cne záväzné nariadenie č. 1/2023</w:t>
      </w:r>
      <w:r>
        <w:t xml:space="preserve"> o určení výšky finančných príspevkov na čiastočnú úhradu nákladov na výchovu a vzdelanie v školách a školských zariadeniach:</w:t>
      </w:r>
    </w:p>
    <w:p w14:paraId="1A609BE4" w14:textId="77777777" w:rsidR="004037AF" w:rsidRPr="00D44DFA" w:rsidRDefault="004037AF" w:rsidP="004037A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410"/>
      </w:tblGrid>
      <w:tr w:rsidR="004037AF" w:rsidRPr="00D44DFA" w14:paraId="1A78E4BE" w14:textId="77777777" w:rsidTr="004037AF">
        <w:tc>
          <w:tcPr>
            <w:tcW w:w="6941" w:type="dxa"/>
          </w:tcPr>
          <w:p w14:paraId="0749479C" w14:textId="77777777" w:rsidR="004037AF" w:rsidRPr="00D44DFA" w:rsidRDefault="004037AF" w:rsidP="009C37A4">
            <w:pPr>
              <w:tabs>
                <w:tab w:val="left" w:pos="565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A">
              <w:rPr>
                <w:rFonts w:ascii="Times New Roman" w:hAnsi="Times New Roman" w:cs="Times New Roman"/>
                <w:sz w:val="24"/>
                <w:szCs w:val="24"/>
              </w:rPr>
              <w:t xml:space="preserve">Vyhlásené vyvesením na úradnej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tabuli obce</w:t>
            </w:r>
            <w:r w:rsidRPr="00D44DFA">
              <w:rPr>
                <w:rFonts w:ascii="Times New Roman" w:hAnsi="Times New Roman" w:cs="Times New Roman"/>
                <w:sz w:val="24"/>
                <w:szCs w:val="24"/>
              </w:rPr>
              <w:t xml:space="preserve"> dňa:</w:t>
            </w:r>
            <w:r w:rsidRPr="00D44D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F3F3F3"/>
          </w:tcPr>
          <w:p w14:paraId="214CCD9E" w14:textId="77777777" w:rsidR="004037AF" w:rsidRPr="00D44DFA" w:rsidRDefault="004037AF" w:rsidP="009C37A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AF" w:rsidRPr="00D44DFA" w14:paraId="3699EA61" w14:textId="77777777" w:rsidTr="004037AF">
        <w:tc>
          <w:tcPr>
            <w:tcW w:w="6941" w:type="dxa"/>
          </w:tcPr>
          <w:p w14:paraId="2AEC054C" w14:textId="77777777" w:rsidR="004037AF" w:rsidRPr="00D44DFA" w:rsidRDefault="004037AF" w:rsidP="009C37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Nariadenie</w:t>
            </w:r>
            <w:r w:rsidRPr="00D44DFA">
              <w:rPr>
                <w:rFonts w:ascii="Times New Roman" w:hAnsi="Times New Roman" w:cs="Times New Roman"/>
                <w:sz w:val="24"/>
                <w:szCs w:val="24"/>
              </w:rPr>
              <w:t xml:space="preserve"> nadobúda účinnosť dňom:</w:t>
            </w:r>
          </w:p>
        </w:tc>
        <w:tc>
          <w:tcPr>
            <w:tcW w:w="2410" w:type="dxa"/>
            <w:shd w:val="clear" w:color="auto" w:fill="F3F3F3"/>
          </w:tcPr>
          <w:p w14:paraId="3B93F7E5" w14:textId="77777777" w:rsidR="004037AF" w:rsidRPr="00D44DFA" w:rsidRDefault="004037AF" w:rsidP="009C37A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C14B14" w14:textId="77777777" w:rsidR="004037AF" w:rsidRPr="004037AF" w:rsidRDefault="004037AF" w:rsidP="00403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7AF" w:rsidRPr="004037AF" w:rsidSect="001C22A6">
      <w:footerReference w:type="default" r:id="rId8"/>
      <w:pgSz w:w="11906" w:h="16838"/>
      <w:pgMar w:top="1418" w:right="1247" w:bottom="1418" w:left="1247" w:header="0" w:footer="113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C2A4" w14:textId="77777777" w:rsidR="00E33F3B" w:rsidRDefault="00E33F3B">
      <w:pPr>
        <w:spacing w:after="0" w:line="240" w:lineRule="auto"/>
      </w:pPr>
      <w:r>
        <w:separator/>
      </w:r>
    </w:p>
  </w:endnote>
  <w:endnote w:type="continuationSeparator" w:id="0">
    <w:p w14:paraId="0D14509E" w14:textId="77777777" w:rsidR="00E33F3B" w:rsidRDefault="00E3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667A" w14:textId="77777777" w:rsidR="0080728C" w:rsidRDefault="00F658D0">
    <w:pPr>
      <w:pStyle w:val="Pt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A7B12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D04F7" w14:textId="77777777" w:rsidR="00E33F3B" w:rsidRDefault="00E33F3B">
      <w:pPr>
        <w:spacing w:after="0" w:line="240" w:lineRule="auto"/>
      </w:pPr>
      <w:r>
        <w:separator/>
      </w:r>
    </w:p>
  </w:footnote>
  <w:footnote w:type="continuationSeparator" w:id="0">
    <w:p w14:paraId="7647E193" w14:textId="77777777" w:rsidR="00E33F3B" w:rsidRDefault="00E3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11C9"/>
    <w:multiLevelType w:val="multilevel"/>
    <w:tmpl w:val="FAFE80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BB7B7F"/>
    <w:multiLevelType w:val="multilevel"/>
    <w:tmpl w:val="119045E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AE4CD0"/>
    <w:multiLevelType w:val="multilevel"/>
    <w:tmpl w:val="3BAC9C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C61D1A"/>
    <w:multiLevelType w:val="multilevel"/>
    <w:tmpl w:val="299EF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021B8C"/>
    <w:multiLevelType w:val="multilevel"/>
    <w:tmpl w:val="F0BA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B01B46"/>
    <w:multiLevelType w:val="multilevel"/>
    <w:tmpl w:val="189EC77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43B42435"/>
    <w:multiLevelType w:val="multilevel"/>
    <w:tmpl w:val="9E2A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DEE6ECD"/>
    <w:multiLevelType w:val="multilevel"/>
    <w:tmpl w:val="1C64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62A15"/>
    <w:multiLevelType w:val="multilevel"/>
    <w:tmpl w:val="3734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52754B"/>
    <w:multiLevelType w:val="multilevel"/>
    <w:tmpl w:val="1674D9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7FB3081"/>
    <w:multiLevelType w:val="multilevel"/>
    <w:tmpl w:val="E862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C"/>
    <w:rsid w:val="000339FB"/>
    <w:rsid w:val="000560BA"/>
    <w:rsid w:val="000A7B12"/>
    <w:rsid w:val="001428A5"/>
    <w:rsid w:val="00142B33"/>
    <w:rsid w:val="001C22A6"/>
    <w:rsid w:val="0022150C"/>
    <w:rsid w:val="002A58DB"/>
    <w:rsid w:val="00396936"/>
    <w:rsid w:val="004037AF"/>
    <w:rsid w:val="004C7BDB"/>
    <w:rsid w:val="005503AC"/>
    <w:rsid w:val="005979D1"/>
    <w:rsid w:val="005A6CE6"/>
    <w:rsid w:val="0080728C"/>
    <w:rsid w:val="00812B5D"/>
    <w:rsid w:val="008F62A6"/>
    <w:rsid w:val="0093167A"/>
    <w:rsid w:val="00A06BA1"/>
    <w:rsid w:val="00B43185"/>
    <w:rsid w:val="00B8303B"/>
    <w:rsid w:val="00C129D0"/>
    <w:rsid w:val="00E33F3B"/>
    <w:rsid w:val="00F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A013"/>
  <w15:docId w15:val="{E0CF2E7E-2BBF-4457-8AF0-4CB4EECD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hAnsi="Segoe UI" w:cs="Segoe UI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qFormat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Pr>
      <w:rFonts w:ascii="Times New Roman" w:eastAsia="Times New Roman" w:hAnsi="Times New Roman" w:cs="Times New Roman"/>
      <w:spacing w:val="-2"/>
      <w:sz w:val="20"/>
      <w:szCs w:val="20"/>
      <w:lang w:val="x-none" w:eastAsia="x-none"/>
    </w:rPr>
  </w:style>
  <w:style w:type="character" w:styleId="Odkaznapoznmkupodiarou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qFormat/>
  </w:style>
  <w:style w:type="character" w:customStyle="1" w:styleId="fontstyle01">
    <w:name w:val="fontstyle01"/>
    <w:basedOn w:val="Predvolenpsmoodseku"/>
    <w:qFormat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styleId="Siln">
    <w:name w:val="Strong"/>
    <w:basedOn w:val="Predvolenpsmoodseku"/>
    <w:qFormat/>
    <w:rPr>
      <w:rFonts w:ascii="Times New Roman" w:hAnsi="Times New Roman" w:cs="Times New Roman"/>
      <w:b/>
      <w:bCs/>
      <w:sz w:val="24"/>
      <w:szCs w:val="24"/>
    </w:rPr>
  </w:style>
  <w:style w:type="character" w:styleId="Zvraznenie">
    <w:name w:val="Emphasis"/>
    <w:qFormat/>
    <w:rPr>
      <w:i/>
      <w:i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riadkovania">
    <w:name w:val="No Spacing"/>
    <w:qFormat/>
    <w:rPr>
      <w:rFonts w:cs="Times New Roman"/>
    </w:rPr>
  </w:style>
  <w:style w:type="paragraph" w:styleId="Textpoznmkypodiarou">
    <w:name w:val="footnote text"/>
    <w:basedOn w:val="Normlny"/>
    <w:link w:val="TextpoznmkypodiarouChar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  <w:lang w:val="x-none" w:eastAsia="x-none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qFormat/>
    <w:pPr>
      <w:spacing w:after="120" w:line="480" w:lineRule="auto"/>
      <w:ind w:left="283"/>
    </w:pPr>
  </w:style>
  <w:style w:type="paragraph" w:styleId="Normlnywebov">
    <w:name w:val="Normal (Web)"/>
    <w:basedOn w:val="Normlny"/>
    <w:qFormat/>
    <w:pPr>
      <w:spacing w:before="280" w:after="142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Hlavikaapta"/>
  </w:style>
  <w:style w:type="paragraph" w:customStyle="1" w:styleId="Normlnatabuka1">
    <w:name w:val="Normálna tabuľka1"/>
    <w:qFormat/>
    <w:rPr>
      <w:rFonts w:cs="Calibri"/>
    </w:rPr>
  </w:style>
  <w:style w:type="paragraph" w:styleId="Hlavika">
    <w:name w:val="header"/>
    <w:basedOn w:val="Hlavikaapta"/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numbering" w:customStyle="1" w:styleId="Aktulnyzoznam1">
    <w:name w:val="Aktuálny zoznam1"/>
    <w:qFormat/>
  </w:style>
  <w:style w:type="paragraph" w:customStyle="1" w:styleId="western">
    <w:name w:val="western"/>
    <w:basedOn w:val="Normlny"/>
    <w:rsid w:val="004037AF"/>
    <w:pPr>
      <w:suppressAutoHyphens w:val="0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F33B-F9DA-4162-B8EF-F5587703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Veverková Ingrid Ing.</dc:creator>
  <dc:description/>
  <cp:lastModifiedBy>Lenovo</cp:lastModifiedBy>
  <cp:revision>6</cp:revision>
  <cp:lastPrinted>2023-01-23T08:25:00Z</cp:lastPrinted>
  <dcterms:created xsi:type="dcterms:W3CDTF">2022-12-30T10:42:00Z</dcterms:created>
  <dcterms:modified xsi:type="dcterms:W3CDTF">2023-01-23T08:26:00Z</dcterms:modified>
  <dc:language>sk-SK</dc:language>
</cp:coreProperties>
</file>